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EB2F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KRITERIJI VREDNOVANJA I NA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IN OCJENJIVANJA IZ NASTAVNIH PREDMETA SOCIOLOGIJA I POLITIKA I GOSPODARSTVO </w:t>
      </w:r>
    </w:p>
    <w:p w14:paraId="31A34364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 xml:space="preserve">Nastavni predmet: POLITIKA I GOSPODARSTVO </w:t>
      </w:r>
    </w:p>
    <w:p w14:paraId="5F5D1A95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 xml:space="preserve">Elementi ocjenjivanja: </w:t>
      </w:r>
    </w:p>
    <w:p w14:paraId="11D1BC5E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- usvojenost temeljnih koncepata politi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ke i ekonomske pismenosti </w:t>
      </w:r>
    </w:p>
    <w:p w14:paraId="36342DC1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- vještina primjene nau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enih koncepata </w:t>
      </w:r>
    </w:p>
    <w:p w14:paraId="2ED5A201" w14:textId="62C91CE8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Prvi element vrednovanja usvojenost temeljnih koncepata odnosi se na razine postignu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a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enika: zadovoljava (prepoznavanje, definiranje, nabrajanje, navo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enje, uo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avanje..), dobro (opisivanje, objašnjavanje, povezivanje, razlikovanje,..), vrlo dobro (uspore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ivanje, objašnjavanje na zadanim primjerima,...), iznimno (analiziranje, samostalni primjeri, kriti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ko propitivanje /ispitivanje, objašnjavanje na vlastitim primjerima,...). </w:t>
      </w:r>
    </w:p>
    <w:p w14:paraId="54B4D69B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Drugi element vještine primjene i razvoj vještina odnosi se na primjenu nau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enih znanja/nau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enih koncepata na razli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itim tehnikama vrednovanja, na primjer, vještina, analize, vještina raspravljanja, vještina argumentiranja, vještina komuniciranja, prezentacijske vještine i dr. </w:t>
      </w:r>
    </w:p>
    <w:p w14:paraId="3899D4C5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Tehnike vrednovanja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kih postignu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a (osim klasi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nih usmenih i pisanih provjera) jesu pisanje eseja, izrada plakata, ra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unalnih prezentacija i multimedijskih/digitalnih sadr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>aja, diskusija, debata, izrada kvizova u digitalnim alatima, simulacije, projektni rad,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ke mape, mini istra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 xml:space="preserve">ivanje i dr. </w:t>
      </w:r>
    </w:p>
    <w:p w14:paraId="008468F4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Ovisno o izboru zadataka koji se o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ekuju od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enika i o izboru tehnika i metoda vrednovanja,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 mo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 xml:space="preserve">e biti ocijenjen iz oba elementa. </w:t>
      </w:r>
    </w:p>
    <w:p w14:paraId="72BB14E1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enicima 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e se predo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iti kriterijska razrada zadataka kojom se jasno odre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uju o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ekivanja (izrada bodovne ljestvice) i ovisno o odabranoj tehnici i metodi vrednovanja, kriteriji su: poznavanje i razumijevanje zadanih pojmova, primjena zadanih pojmova i povezanost s obra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enom temom, opseg i dubina istra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>enosti teme na zadanim izvorima, primjena znanja na konkretnim primjerima, samostalno rješavanje problematike, jasno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a, inovativnost i kreativnost prikazanih grafi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kih rješenja, elokventnost i komunikacijske sposobnosti pri izlaganju, samostalnost u radu i sl. </w:t>
      </w:r>
    </w:p>
    <w:p w14:paraId="0E1CFD72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Na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ini vrednovanja su </w:t>
      </w:r>
      <w:proofErr w:type="spellStart"/>
      <w:r>
        <w:rPr>
          <w:rFonts w:ascii="Baskerville Old Face" w:hAnsi="Baskerville Old Face"/>
          <w:sz w:val="24"/>
          <w:szCs w:val="24"/>
        </w:rPr>
        <w:t>sumativno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i formativno. </w:t>
      </w:r>
    </w:p>
    <w:p w14:paraId="0933A741" w14:textId="77777777" w:rsidR="00860994" w:rsidRDefault="00860994" w:rsidP="00860994">
      <w:pPr>
        <w:pStyle w:val="western"/>
        <w:spacing w:after="159" w:line="259" w:lineRule="auto"/>
      </w:pPr>
      <w:proofErr w:type="spellStart"/>
      <w:r>
        <w:rPr>
          <w:rFonts w:ascii="Baskerville Old Face" w:hAnsi="Baskerville Old Face"/>
          <w:sz w:val="24"/>
          <w:szCs w:val="24"/>
        </w:rPr>
        <w:t>Sumativno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vrednovanje odnosi se na donošenje ukupne, završne i zaklju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ne ocjene nakon odre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ene cjeline/razdoblja usmenim ili pisanim ili nekim drugim odabranim na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inom provjere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enikovih postignu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 xml:space="preserve">a (testiranja znanja). </w:t>
      </w:r>
    </w:p>
    <w:p w14:paraId="1DA41BDE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lastRenderedPageBreak/>
        <w:t>Cilj formativnog vrednovanja je utjecati na razvoj znanja i vještina na na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in da se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enici motiviraju, korigiraju i usavršavaju. Kontinuirano pra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enje, opisno i kvalitativno procjenjivanje je vidljivo u bilješkama o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eniku, a nudi povratne informacije o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enju i rezultatima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enja. </w:t>
      </w:r>
    </w:p>
    <w:p w14:paraId="3BCDD06A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Usmene i pismene provjere znanja</w:t>
      </w:r>
    </w:p>
    <w:p w14:paraId="61C15842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Usmene provjere znanja provode se bez najave (u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 se mo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>e dobrovoljno javiti za odgovaranje na bilo kojem nastavnom satu) te se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enik ocjenjuje iz oba elementa. Pismene provjere znanja provode se u skladu s </w:t>
      </w:r>
      <w:proofErr w:type="spellStart"/>
      <w:r>
        <w:rPr>
          <w:rFonts w:ascii="Baskerville Old Face" w:hAnsi="Baskerville Old Face"/>
          <w:sz w:val="24"/>
          <w:szCs w:val="24"/>
        </w:rPr>
        <w:t>vremenikom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pisanih provjera, a ocjenjuje se jednom ocjenom i to prema sljede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 xml:space="preserve">im kriterijima: </w:t>
      </w:r>
    </w:p>
    <w:p w14:paraId="5163CF71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Nedovoljan 0 – 50% Dovoljan 51% - 64% Dobar 65% - 77% Vrlo dobar 78% - 89% Odli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an 90% - 100% </w:t>
      </w:r>
    </w:p>
    <w:p w14:paraId="7D19F85D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Ispravak ocjene Svi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enici koji su dobili nedovoljan iz pismenog pišu ispravak pismene provjere, a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enici koji su usmenom provjerom ocjenjeni s ocjenom nedovoljan istu ispravljaju usmenim odgovaranjem. Ukoliko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 iz ponovljene pismene provjere ponovno dobije ocjenu nedovoljan, istu mo</w:t>
      </w:r>
      <w:r>
        <w:rPr>
          <w:sz w:val="24"/>
          <w:szCs w:val="24"/>
        </w:rPr>
        <w:t>ž</w:t>
      </w:r>
      <w:r>
        <w:rPr>
          <w:rFonts w:ascii="Baskerville Old Face" w:hAnsi="Baskerville Old Face"/>
          <w:sz w:val="24"/>
          <w:szCs w:val="24"/>
        </w:rPr>
        <w:t xml:space="preserve">e ispravljati usmenim putem. </w:t>
      </w:r>
    </w:p>
    <w:p w14:paraId="685A1193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Ostale napomene: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enici koji ne do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u na najavljenu pismenu provjeru istu pišu na sljede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em satu kada do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 xml:space="preserve">u na nastavu. Isprike za usmeno odgovaranje nisu dozvoljene osim iz opravdanih razloga (bolest, pripremanje za natjecanja…) koje 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 xml:space="preserve">e potvrditi razrednik ili roditelj. </w:t>
      </w:r>
    </w:p>
    <w:p w14:paraId="6261361A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Zaklju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ne ocjene proizlaze na temelju svih ocjena dobivenih tijekom nastavne godine i na temelju bilješki o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eniku koje se vode tijekom nastave kroz godinu, stoga ocjena ne proizlazi iz aritmeti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ke sredine. Navedeni elementi vrednovanja su jednakovrijedni pri odre</w:t>
      </w:r>
      <w:r>
        <w:rPr>
          <w:sz w:val="24"/>
          <w:szCs w:val="24"/>
        </w:rPr>
        <w:t>đ</w:t>
      </w:r>
      <w:r>
        <w:rPr>
          <w:rFonts w:ascii="Baskerville Old Face" w:hAnsi="Baskerville Old Face"/>
          <w:sz w:val="24"/>
          <w:szCs w:val="24"/>
        </w:rPr>
        <w:t>ivanju zaklju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>ne ocjene koja predstavlja sumarnu procjenu usvojenosti odgojno-obrazovnih postignu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a u</w:t>
      </w:r>
      <w:r>
        <w:rPr>
          <w:sz w:val="24"/>
          <w:szCs w:val="24"/>
        </w:rPr>
        <w:t>č</w:t>
      </w:r>
      <w:r>
        <w:rPr>
          <w:rFonts w:ascii="Baskerville Old Face" w:hAnsi="Baskerville Old Face"/>
          <w:sz w:val="24"/>
          <w:szCs w:val="24"/>
        </w:rPr>
        <w:t xml:space="preserve">enika. </w:t>
      </w:r>
    </w:p>
    <w:p w14:paraId="46656D65" w14:textId="77777777" w:rsidR="00860994" w:rsidRDefault="00860994" w:rsidP="00860994">
      <w:pPr>
        <w:pStyle w:val="western"/>
        <w:spacing w:after="159" w:line="259" w:lineRule="auto"/>
      </w:pPr>
      <w:r>
        <w:rPr>
          <w:rFonts w:ascii="Baskerville Old Face" w:hAnsi="Baskerville Old Face"/>
          <w:sz w:val="24"/>
          <w:szCs w:val="24"/>
        </w:rPr>
        <w:t>Blanka Filoševi</w:t>
      </w:r>
      <w:r>
        <w:rPr>
          <w:sz w:val="24"/>
          <w:szCs w:val="24"/>
        </w:rPr>
        <w:t>ć</w:t>
      </w:r>
      <w:r>
        <w:rPr>
          <w:rFonts w:ascii="Baskerville Old Face" w:hAnsi="Baskerville Old Face"/>
          <w:sz w:val="24"/>
          <w:szCs w:val="24"/>
        </w:rPr>
        <w:t>, prof.</w:t>
      </w:r>
    </w:p>
    <w:p w14:paraId="19753D37" w14:textId="77777777" w:rsidR="00B512D7" w:rsidRDefault="00B512D7"/>
    <w:sectPr w:rsidR="00B5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94"/>
    <w:rsid w:val="00860994"/>
    <w:rsid w:val="00B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A0B9"/>
  <w15:chartTrackingRefBased/>
  <w15:docId w15:val="{6B05D31E-6F48-4289-A998-5CB34C43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stern">
    <w:name w:val="western"/>
    <w:basedOn w:val="Normal"/>
    <w:rsid w:val="00860994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Filošević</dc:creator>
  <cp:keywords/>
  <dc:description/>
  <cp:lastModifiedBy>Blanka Filošević</cp:lastModifiedBy>
  <cp:revision>1</cp:revision>
  <dcterms:created xsi:type="dcterms:W3CDTF">2021-08-25T18:59:00Z</dcterms:created>
  <dcterms:modified xsi:type="dcterms:W3CDTF">2021-08-25T19:01:00Z</dcterms:modified>
</cp:coreProperties>
</file>